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EA09B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A09B1" w:rsidRDefault="00042801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EA09B1" w:rsidRDefault="00042801">
            <w:pPr>
              <w:spacing w:after="0" w:line="240" w:lineRule="auto"/>
            </w:pPr>
            <w:r>
              <w:t>21300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A09B1" w:rsidRDefault="00042801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EA09B1" w:rsidRDefault="00042801">
            <w:pPr>
              <w:spacing w:after="0" w:line="240" w:lineRule="auto"/>
            </w:pPr>
            <w:r>
              <w:t>Osnovna škola  Šećerana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EA09B1" w:rsidRDefault="00042801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EA09B1" w:rsidRDefault="00042801">
            <w:pPr>
              <w:spacing w:after="0" w:line="240" w:lineRule="auto"/>
            </w:pPr>
            <w:r>
              <w:t>31</w:t>
            </w:r>
          </w:p>
        </w:tc>
      </w:tr>
    </w:tbl>
    <w:p w:rsidR="00EA09B1" w:rsidRDefault="00042801">
      <w:r>
        <w:br/>
      </w:r>
    </w:p>
    <w:p w:rsidR="00EA09B1" w:rsidRDefault="00042801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EA09B1" w:rsidRDefault="00042801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EA09B1" w:rsidRDefault="00042801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1.813.424,81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2.024.388,12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1.790.039,51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2.138.344,31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EA09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113.956,19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24.392,99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22.586,67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92,6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EA09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24.392,99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22.586,67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92,6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EA09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EA09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1.007,69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136.542,86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 izvještajnoj 2025. godini Škola je ostvarila ukupne prihode za 11,6 % veće u odnosu na prethodnu 2024. godinu, a čije povećanje proizlazi iz većih prihoda ostvarenih iz nadležnog proračuna, za financiranje osnovne djelatnosti ( veće cijene usluga, proizv</w:t>
      </w:r>
      <w:r>
        <w:t>oda, posljedice inflacije na makroekonomskom nivou) i većih prihoda iz proračuna koji nam nije nadležan, odnosno matičnog Ministarstva znanosti, obrazovanja i mladih, i to za plaće, materijalna prava i ostale pomoći. U izvještajnoj godini je realizirano po</w:t>
      </w:r>
      <w:r>
        <w:t>većanje osnovice za obračun plaće za ukupno 6 % , što je u najvećem dijelu rezultiralo većim prihodima.</w:t>
      </w:r>
    </w:p>
    <w:p w:rsidR="00EA09B1" w:rsidRDefault="00042801">
      <w:r>
        <w:lastRenderedPageBreak/>
        <w:t>Najznačajnije smanjenje prihoda ostvareno je na računima tekućih donacija i prihoda od prodaje proizvoda i rova-Školske zadruge, uslijed manje ostvarene</w:t>
      </w:r>
      <w:r>
        <w:t xml:space="preserve"> prodaje po prigodnim mjestima/školskim i lokalnim sajmovima, te manje ostvarenih donacija.</w:t>
      </w:r>
    </w:p>
    <w:p w:rsidR="00EA09B1" w:rsidRDefault="00042801">
      <w:r>
        <w:t>U izvještajnom razdoblju Škola nije imala prihoda od prodaje nefinancijske imovine.</w:t>
      </w:r>
    </w:p>
    <w:p w:rsidR="00EA09B1" w:rsidRDefault="00042801">
      <w:r>
        <w:t>Škola je u izvještajnom razdoblju 2025.g. ostvarila veće rashode poslovanja u od</w:t>
      </w:r>
      <w:r>
        <w:t xml:space="preserve">nosu na 2024.g. za 19,5 %. </w:t>
      </w:r>
      <w:proofErr w:type="spellStart"/>
      <w:r>
        <w:t>Najzačajnije</w:t>
      </w:r>
      <w:proofErr w:type="spellEnd"/>
      <w:r>
        <w:t xml:space="preserve"> povećanje rashoda se odnosi na rashode za zaposlene, i rashode za financiranje osnovne djelatnosti. Za nabavu nefinancijske imovine evidentirano je 7,4 % manje rashoda u odnosu na 2024.g. , od kojih (realiziranih) se</w:t>
      </w:r>
      <w:r>
        <w:t xml:space="preserve"> najveći dio odnosi na nabavu Udžbenika za 2025/2026 g., a razlog manje utrošenih sredstava proizlazi iz manje pristupačnih sredstava za ovu vrstu namjene sredstava.  U izvještajnom razdoblju nisu ostvareni primici od financijske imovine i zaduživanje, nit</w:t>
      </w:r>
      <w:r>
        <w:t>i je bilo izdataka za financijsku imovinu i otplatu zajmova.</w:t>
      </w:r>
    </w:p>
    <w:p w:rsidR="00EA09B1" w:rsidRDefault="00042801">
      <w:r>
        <w:t xml:space="preserve">U izvještajnom razdoblju za 2025.g.ostvaren je manjak prihoda poslovanja u iznosu od 113.956,19 eura, koji proizlazi iz metodološkog manjka </w:t>
      </w:r>
      <w:proofErr w:type="spellStart"/>
      <w:r>
        <w:t>odn</w:t>
      </w:r>
      <w:proofErr w:type="spellEnd"/>
      <w:r>
        <w:t>. knjiženja rashoda za zaposlene - 13 plaće za zapos</w:t>
      </w:r>
      <w:r>
        <w:t>lene, u 2025.g., a koji će biti pokriven, već u siječnju 2026.g.</w:t>
      </w:r>
    </w:p>
    <w:p w:rsidR="00EA09B1" w:rsidRDefault="00042801">
      <w:r>
        <w:t>Isto tako je ostvaren manjak prihoda za nabavu nefinancijske imovine u iznosu od 22.586,67 eura, te je evidentirana 1 obvezna korekcija rezultata, nakon koje je ukupni manjak prihoda evidenti</w:t>
      </w:r>
      <w:r>
        <w:t>ran u iznosu od 134.197,60 eura za 2025.godinu.</w:t>
      </w:r>
    </w:p>
    <w:p w:rsidR="00EA09B1" w:rsidRDefault="00042801">
      <w:r>
        <w:t>Ukupni manjak prihoda je metodološki manjak, a sve sukladno odredbama Zakona o proračunu i Pravilnika o proračunskom računovodstvu i računskom planu (NN 158/23 i 154/24) i modificiranim načelom nastanka događ</w:t>
      </w:r>
      <w:r>
        <w:t>aja.</w:t>
      </w:r>
    </w:p>
    <w:p w:rsidR="00EA09B1" w:rsidRDefault="00042801">
      <w:r>
        <w:t> </w:t>
      </w:r>
    </w:p>
    <w:p w:rsidR="00EA09B1" w:rsidRDefault="00042801">
      <w:r>
        <w:br/>
      </w:r>
    </w:p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1.813.424,81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2.024.388,12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111,6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 izvještajnoj 2025. godini Škola je ostvarila ukupne prihode za 11,6 % veće u odnosu na prethodnu 2024. godinu, a čije povećanje proizlazi iz većih prihoda za financiranje osnovne djelatnosti ( veće cijene usluga, proizvoda, posljedice inflacije na makroe</w:t>
      </w:r>
      <w:r>
        <w:t>konomskom nivou) i većih prihoda iz proračuna koji nam nije nadležan, odnosno matičnog Ministarstva znanosti, obrazovanja i mladih, i to za plaće, materijalna prava i ostale pomoći. U izvještajnoj godini je realizirano povećanje osnovice za obračun plaće z</w:t>
      </w:r>
      <w:r>
        <w:t>a ukupno 6 % , što je u najvećem dijelu rezultiralo većim prihodima. Usporedno povećanje se također odnosi na knjiženje plaće za 12 mjesec u 2025 g., prema novom Pravilniku o proračunskom računovodstvu i Računskom planu ( NN 158/23 i 154/24).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lastRenderedPageBreak/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1.652.460,22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1.808.364,33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109,4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Veći prihodi za 9,4 % se odnose na povećanje osnovice za plaće i ostala mat. prava prema zaposlenicima u odnosu na prethodno izvještajno razdoblje.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15.428,40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16.721,18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108,4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 xml:space="preserve">Kapitalne pomoći iz proračuna koji nam nije nadležan se odnose na udžbenike za </w:t>
      </w:r>
      <w:proofErr w:type="spellStart"/>
      <w:r>
        <w:t>šk.god</w:t>
      </w:r>
      <w:proofErr w:type="spellEnd"/>
      <w:r>
        <w:t>. 2025/2026 i veće su u odnosu na prethodno razdoblje zbog više otpisanih udžbenika u prošloj školskoj godini.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1.419,98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3.152,64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222,0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Povećanje se odnosi na veće prihode ostvarene od više održanih sportskih aktivnosti u odnosu na prethodnu godinu.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</w:t>
            </w:r>
            <w:r>
              <w:rPr>
                <w:b/>
                <w:sz w:val="18"/>
              </w:rPr>
              <w:t>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1.087,37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118,2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 xml:space="preserve">Povećanje od 18 % se odnosi na više realiziranih sredstava školske zadruge na lokalnim prigodnim sajmovima, u odnosu na </w:t>
      </w:r>
      <w:proofErr w:type="spellStart"/>
      <w:r>
        <w:t>preth</w:t>
      </w:r>
      <w:proofErr w:type="spellEnd"/>
      <w:r>
        <w:t>. izv. razdoblje.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2.477,87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5.171,06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208,7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 xml:space="preserve">Povećanje prihoda od pruženih usluga se odnosi na najam školskog prostora, koji su u odnosu na </w:t>
      </w:r>
      <w:proofErr w:type="spellStart"/>
      <w:r>
        <w:t>preth</w:t>
      </w:r>
      <w:proofErr w:type="spellEnd"/>
      <w:r>
        <w:t xml:space="preserve">. izv. razdoblje veće zbog novog ugovora o najmu </w:t>
      </w:r>
      <w:proofErr w:type="spellStart"/>
      <w:r>
        <w:t>šk.prostora</w:t>
      </w:r>
      <w:proofErr w:type="spellEnd"/>
      <w:r>
        <w:t xml:space="preserve"> u PŠ </w:t>
      </w:r>
      <w:proofErr w:type="spellStart"/>
      <w:r>
        <w:t>Petlovac</w:t>
      </w:r>
      <w:proofErr w:type="spellEnd"/>
      <w:r>
        <w:t xml:space="preserve">. Promatrani prihod je u prošlom </w:t>
      </w:r>
      <w:proofErr w:type="spellStart"/>
      <w:r>
        <w:t>izv.razdoblju</w:t>
      </w:r>
      <w:proofErr w:type="spellEnd"/>
      <w:r>
        <w:t xml:space="preserve"> bio realiziran pola godine, a u ovo</w:t>
      </w:r>
      <w:r>
        <w:t>m izv. razdoblju, cijelu godinu.</w:t>
      </w:r>
    </w:p>
    <w:p w:rsidR="00EA09B1" w:rsidRDefault="00042801">
      <w:r>
        <w:t>Osim toga najam prostora u Baranjskom Petrovom Selu za period od 1.11.2025.- 30.4.2026. je naplaćen prije ugovorenih rokova, tako da je i taj realizirani prihod utjecao na povećanje.  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Donacije od pravnih i fizičkih osoba izvan općeg proračuna te povrat donacija i kapitalnih pomoći po protestiranim jamstvima </w:t>
            </w:r>
            <w:r>
              <w:rPr>
                <w:sz w:val="18"/>
              </w:rPr>
              <w:t>(šifre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7.466,41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1.941,99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26,0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 promatranom razdoblju donacije su manje realizirane nego u prethodnom razdoblju, na čiju realizaciju nismo mogli utjecati, već smo samo planirali na osnovi prošlih razdoblja.  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130.755,66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142,3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 prihode iz nadležnog proračuna spadaju osim osnivačevih sredstava i prihodi koji se odnose na isplate projekata koje provodi osnivač , a to je projekt "Učimo zajedno" po kojem je u našoj školi uključeno 7 pomoćnika u nastavi, projekt Školska shema i dece</w:t>
      </w:r>
      <w:r>
        <w:t xml:space="preserve">ntralizirana sredstva države. Izmjenama i dopunama financijskog plana za 2025.g. povećana su nam sredstva za rashode osnovne djelatnosti , zbog povećanja cijena energenata i ostalih potrošnih materijala koje škola koristi za svakodnevno funkcioniranje, te </w:t>
      </w:r>
      <w:r>
        <w:t xml:space="preserve">je u projektu "Učimo zajedno" uključeno više pomoćnika nego u </w:t>
      </w:r>
      <w:proofErr w:type="spellStart"/>
      <w:r>
        <w:t>preth</w:t>
      </w:r>
      <w:proofErr w:type="spellEnd"/>
      <w:r>
        <w:t>. promatranom razdoblju , što je sve skupa rezultiralo povećanjem prihoda iz nadležnog proračuna.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</w:t>
            </w:r>
            <w:r>
              <w:rPr>
                <w:b/>
                <w:sz w:val="18"/>
              </w:rPr>
              <w:t>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1.751,12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120,3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 xml:space="preserve">Povećanje je evidentirano zbog prihoda koji su se Izmjenom i dopunom financijskog plana za 2025 povećali sa svrhom izrade energetskog certifikata koji je istekao za građevinski objekt u vlasništvu škole - PŠ </w:t>
      </w:r>
      <w:proofErr w:type="spellStart"/>
      <w:r>
        <w:t>Branjin</w:t>
      </w:r>
      <w:proofErr w:type="spellEnd"/>
      <w:r>
        <w:t xml:space="preserve"> Vrh.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</w:t>
            </w:r>
            <w:r>
              <w:rPr>
                <w:b/>
                <w:sz w:val="18"/>
              </w:rPr>
              <w:t>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1.245.893,58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1.500.544,16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Rashodi za plaće za zaposlene su u promatranom razdoblju veći od prethodnog za 20,4 %, što proizlazi iz povećanja osnovice za obračun plaće zaposlenima ( 2+2+ 2 %, u tijeku izvještajnog razdoblja) i to na temelju Odluka Vlade u 2025.g., zatim zbog više upo</w:t>
      </w:r>
      <w:r>
        <w:t>slenih pomoćnika u nastavi prema projektu "Učimo zajedno", te zbog knjiženja 13 plaće u ovoj godini, što u prethodnoj izvještajnoj godini nije bio slučaj.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21.534,93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29.516,76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137,1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 izvještajnoj 2025.g. je bilo više bolovanja u odnosu na prethodnu godinu, te je ravnateljica škole izdala i više naloga za prekovremeni rad. Usporedno povećanje se također odnosi na knjiženje plaće za 12 mjesec u 2025 g., prema novom Pravilniku o proraču</w:t>
      </w:r>
      <w:r>
        <w:t>nskom računovodstvu i Računskom planu ( NN 158/23 i 154/24).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Plaće za posebne uvjete </w:t>
            </w:r>
            <w:r>
              <w:rPr>
                <w:sz w:val="18"/>
              </w:rPr>
              <w:t>rada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33.005,11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41.478,40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lastRenderedPageBreak/>
        <w:t>Plaće za posebne uvjete rada u 2025.g. su veće od plaća u 2024.g., najznačajnije zbog povećanja učenika s kojima učitelji moraju raditi po posebnom prilagođenom programu, koji se posebno obračunava prilikom izrade plaće za zaposlene i to po povećanim osnov</w:t>
      </w:r>
      <w:r>
        <w:t>icama kako je pojašnjeno u bilješkama za račun 3111. Usporedno povećanje se također odnosi na knjiženje plaće za 12 mjesec u 2025 g., prema novom Pravilniku o proračunskom računovodstvu i Računskom planu ( NN 158/23 i 154/24).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62.228,56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69.895,26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112,3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 rashode koji se evidentiraju na ovom računu su nagrade, darovi, otpremnine zaposlenima, regres, pomoći. U ovoj godini smo imali tri djelatnika koja su otišla u mirovinu, za razliku od prethodne godine kada smo imali 1 djelatnika, zatim povećanje se takođ</w:t>
      </w:r>
      <w:r>
        <w:t>er odnosi na povećanje osnovice za isplatu jubilarnih nagrada u 2025 g. , kojih smo također imali više nego u prethodnom promatranom razdoblju. 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215.066,12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260.832,76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121,3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Sukladno povećanjima  na računima 3111 - 312 , povećali su se i doprinosi koji se obračunavaju na iste.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5.332,80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7.331,31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137,5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 2025.g. ostvareno je više sudjelovanja zaposlenih na seminarima, edukacijama, državnim i županijskim stručnim vijećima.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59.861,99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70.657,77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 xml:space="preserve">Povećanje u odnosu na prethodno izvještajno razdoblje se odnosi na povratak zaposlenika sa dužeg bolovanja koje su imali u tijeku 2024.g., zapošljavanje zamjena za učitelje koji su se nalazili na bolovanju, a imaju prebivalište udaljenije od mjesta rada ( </w:t>
      </w:r>
      <w:r>
        <w:t>Vukovar, Županja, Tenja, Đakovo). 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1.183,98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263,1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Više zaposlenika je sudjelovalo na stručnim seminarima nego u 2024.g.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3.324,10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89,9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 promatranom razdoblju su manje korišteni privatni automobili zaposlenih u poslovne svrhe, stoga imamo manje rashode u odnosu na 2024.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1.396,22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2.500,43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179,1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 2025. je bilo više obnavljanja , održavanja  i popravaka opreme , postrojenja i građevina u odnosu na 2024.g. Popravak toaletnih čvorova po područnim školama, ličenje zidova, popravak postrojenja za grijanje, zamjena rezervnih dijelova i sl.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lastRenderedPageBreak/>
        <w:t>Bilješka 21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923,97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3.420,93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370,2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 2025 g. je kupljeno više sitnog inventara nego u 2024.g. i to zbog odobrenih projekata po kojima je Škola dobila sredstva i iz kojih su se financirale radionice i novo opremanje radi sadržaja koje pokrivaju sami projekti.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8.613,19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10.305,55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119,6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Povećanje se evidentira zbog povećanja cijena usluga u 2025.g. u odnosu na 2024.g. ( voda, odvoz otpada..)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7.149,59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13.862,00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193,9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Na računima 3291-3299 su evidentirana povećanja u 2025.g. u odnosu na 2024.g. zbog:</w:t>
      </w:r>
    </w:p>
    <w:p w:rsidR="00EA09B1" w:rsidRDefault="00042801">
      <w:r>
        <w:t>-evidentiranja rashoda za troškove sudskih postupaka i plaćanja kazne po sudskom postupku</w:t>
      </w:r>
    </w:p>
    <w:p w:rsidR="00EA09B1" w:rsidRDefault="00042801">
      <w:r>
        <w:t>-evidentiranja rashoda za sudjelovanje učenika na terenskoj nastavi ( uplate- prihod i račun za usluge na terenskoj nastavi - rashod , se proknjižio preko riznice (KC</w:t>
      </w:r>
      <w:r>
        <w:t xml:space="preserve"> Mato Lovrak)</w:t>
      </w:r>
    </w:p>
    <w:p w:rsidR="00EA09B1" w:rsidRDefault="00042801">
      <w:r>
        <w:t xml:space="preserve">-evidentiranje rashoda za nabavu higijenskih potrepština za učenice ( AWT International- </w:t>
      </w:r>
      <w:proofErr w:type="spellStart"/>
      <w:r>
        <w:t>hig.ulošci</w:t>
      </w:r>
      <w:proofErr w:type="spellEnd"/>
      <w:r>
        <w:t>)</w:t>
      </w:r>
    </w:p>
    <w:p w:rsidR="00EA09B1" w:rsidRDefault="00042801">
      <w:r>
        <w:t>-evidentiranje rashoda za nabavu psiho-dijagnostičkih sredstava za potrebe psihologa škole </w:t>
      </w:r>
    </w:p>
    <w:p w:rsidR="00EA09B1" w:rsidRDefault="00042801">
      <w:r>
        <w:t> 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</w:t>
            </w:r>
            <w:r>
              <w:rPr>
                <w:b/>
                <w:sz w:val="18"/>
              </w:rPr>
              <w:t>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142.417,98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 xml:space="preserve">Obračunati prihodi poslovanja - nenaplaćeni , su u 2025.g. veći od prethodne izvještajne godine zbog knjiženja plaće za 12 mjesec u 2025 g., prema novom Pravilniku o proračunskom računovodstvu i Računskom planu ( NN 158/23 i 154/24). </w:t>
      </w:r>
      <w:proofErr w:type="spellStart"/>
      <w:r>
        <w:t>odn</w:t>
      </w:r>
      <w:proofErr w:type="spellEnd"/>
      <w:r>
        <w:t xml:space="preserve"> zbog ukidanja raču</w:t>
      </w:r>
      <w:r>
        <w:t>na vremenskih razgraničenja.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EA09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UKUPAN MANJAK PRIHODA (šifre Y034-X067)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1.007,69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136.542,86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 financijskom izvješću za 2025.g. evidentiran je ukupan manjak prihoda , kao metodološki manjak, jer će se prihod za plaću za 12/2025 knjižiti u 2026.g., dok je rashod knjižen u 2025.g.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0211 do 0214 - 02921)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021 i 02921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334.787,96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423.128,24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126,4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 xml:space="preserve">Proizvedena nefinancijska imovina, građevinski objekti su povećani za vrijednost ulaganja energetske obnove u PŠ </w:t>
      </w:r>
      <w:proofErr w:type="spellStart"/>
      <w:r>
        <w:t>Petlovac</w:t>
      </w:r>
      <w:proofErr w:type="spellEnd"/>
      <w:r>
        <w:t>, što je u prosincu , 2025 godine izvršen prijenos knjigovodstvene vrijednosti sa osnivača na Školu.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78.514,04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96.246,83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122,6</w:t>
            </w:r>
          </w:p>
        </w:tc>
      </w:tr>
    </w:tbl>
    <w:p w:rsidR="00EA09B1" w:rsidRDefault="00EA09B1">
      <w:pPr>
        <w:spacing w:after="0"/>
      </w:pPr>
    </w:p>
    <w:p w:rsidR="00EA09B1" w:rsidRDefault="00042801">
      <w:proofErr w:type="spellStart"/>
      <w:r>
        <w:lastRenderedPageBreak/>
        <w:t>Vrijdnost</w:t>
      </w:r>
      <w:proofErr w:type="spellEnd"/>
      <w:r>
        <w:t xml:space="preserve"> knjiga u knjižnici i udžbenika je povećana za 22,6 % u odnosu na prethodno izvještajno razdoblje, radi nabavke novih udžbenika za </w:t>
      </w:r>
      <w:proofErr w:type="spellStart"/>
      <w:r>
        <w:t>šk.god</w:t>
      </w:r>
      <w:proofErr w:type="spellEnd"/>
      <w:r>
        <w:t>. koju financira MZOM i školske lektire za 2026 g. što također financira MZOM iz kapitalnih pomoći, kao i osni</w:t>
      </w:r>
      <w:r>
        <w:t>vač.</w:t>
      </w:r>
    </w:p>
    <w:p w:rsidR="00EA09B1" w:rsidRDefault="00042801">
      <w:r>
        <w:t> 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potraživanja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8.013,66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16.061,48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200,4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Ostala potraživanja se odnose na potraživanja za bolovanje i to za bolovanje duže od 42 dana i ostalo , i potraživanja za ozljede na radu, koje refundira HZZO. Predmetno potraživanje je veće u odnosu na prethodno izvještajno razdoblje zbog ne zatvaranja po</w:t>
      </w:r>
      <w:r>
        <w:t>traživanja za ozljede na radu od strane HZZO ( MZOM), jer imamo zaposlenicu koja je na bolovanju cijelu 2025 g., a refundacije nisu dospjele. 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141.898,99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Potraživanje se odnosi na prihod plaće za zaposlene za 12/2025. koji dospijeva u siječnju 2026.g., a veći je u odnosu na prethodnu godinu zbog uvođenja novog pravila na temelju Pravilnika o proračunskom računovodstvu i Računskom planu ( NN 158/23 i 154/24)</w:t>
      </w:r>
      <w:r>
        <w:t>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od prodaje proizvoda i robe te pruženih usluga i za 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518,99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1730,0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Predmetno potraživanje nije obračunato, jer nije naplaćeno. ( partner po ugovoru o najmu krova Škole).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proračunskih korisnika za </w:t>
            </w:r>
            <w:r>
              <w:rPr>
                <w:sz w:val="18"/>
              </w:rPr>
              <w:t>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15.921,85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20.923,59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131,4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Potraživanje za sredstva koja su uplaćena u nadležni proračun su vlastita sredstva Škole i veća su u odnosu na prošlu godinu, jer su nam u prosincu 2025. uplaćena značajnija sredstva za dodijeljene projekte (MZOM). 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</w:t>
            </w:r>
            <w:r>
              <w:rPr>
                <w:b/>
                <w:sz w:val="18"/>
              </w:rPr>
              <w:t>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nabavu nefinancijske imovine (šifre 241 do 245)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667,57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6181,2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 xml:space="preserve">Obveze za nabavu nefinancijske imovine nisu obračunate jer nisu plaćene u promatranom razdoblju, a odnose se na udžbenike za </w:t>
      </w:r>
      <w:proofErr w:type="spellStart"/>
      <w:r>
        <w:t>šk.god</w:t>
      </w:r>
      <w:proofErr w:type="spellEnd"/>
      <w:r>
        <w:t>. 2025/2026, koji su naknadno nabavljeni.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</w:t>
            </w:r>
            <w:r>
              <w:rPr>
                <w:b/>
                <w:sz w:val="18"/>
              </w:rPr>
              <w:t>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2.345,26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-134.197,60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-5722,1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Rezultat poslovanja je evidentiran kao manjak prihoda poslovanja, što je posljedica knjiženja plaće za 12/2025.g. , čiji prihodi se ne evidentiraju u izvještajnom razdoblju, a sve sukladno novom Pravilniku o proračunskom računovodstvu i Računskom planu ( N</w:t>
      </w:r>
      <w:r>
        <w:t>N 158/23 i 154/24).</w:t>
      </w:r>
    </w:p>
    <w:p w:rsidR="00EA09B1" w:rsidRDefault="00042801">
      <w:r>
        <w:t>Metodološki manjak će biti pokriven u siječnju, 2026.godine.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128.558,77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Evidentira se manjak prihoda poslovanja , obveznom prvom korekcijom rezultata.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5.492,84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5.638,83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102,7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Obveznom korekcijom rezultata , evidentira se manjak prihoda od nefinancijske imovine.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- nedospjela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</w:t>
            </w:r>
            <w:r>
              <w:rPr>
                <w:sz w:val="18"/>
              </w:rPr>
              <w:t xml:space="preserve">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163.341,57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Potraživanja (nedospjela) se odnose na:</w:t>
      </w:r>
    </w:p>
    <w:p w:rsidR="00EA09B1" w:rsidRDefault="00042801">
      <w:r>
        <w:t>-bruto plaća zaposlenih za 12/2025</w:t>
      </w:r>
    </w:p>
    <w:p w:rsidR="00EA09B1" w:rsidRDefault="00042801">
      <w:r>
        <w:t>-potraživanja za najam krova (ugovor)</w:t>
      </w:r>
    </w:p>
    <w:p w:rsidR="00EA09B1" w:rsidRDefault="00042801">
      <w:r>
        <w:t>-potraživanja za sredstva uplaćena u nadležni proračun</w:t>
      </w:r>
    </w:p>
    <w:p w:rsidR="00EA09B1" w:rsidRDefault="00042801">
      <w:r>
        <w:t> 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</w:t>
            </w:r>
            <w:r>
              <w:rPr>
                <w:b/>
                <w:sz w:val="18"/>
              </w:rPr>
              <w:t>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 - nedospjele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dio 23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154.803,45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160.107,42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103,4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Obveze za rashode poslovanja - nedospjele:</w:t>
      </w:r>
    </w:p>
    <w:p w:rsidR="00EA09B1" w:rsidRDefault="00042801">
      <w:r>
        <w:t>-bruto plaća za zaposlene</w:t>
      </w:r>
    </w:p>
    <w:p w:rsidR="00EA09B1" w:rsidRDefault="00042801">
      <w:r>
        <w:t>-obveze za materijalne rashode (dobavljači)</w:t>
      </w:r>
    </w:p>
    <w:p w:rsidR="00EA09B1" w:rsidRDefault="00042801">
      <w:r>
        <w:t>-naknade troškova zaposlenima (prijevoz)</w:t>
      </w:r>
    </w:p>
    <w:p w:rsidR="00EA09B1" w:rsidRDefault="00042801">
      <w:r>
        <w:t> 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rashodima prema funkcijskoj klasifikaciji</w:t>
      </w:r>
    </w:p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1.814.432,50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2.160.930,98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Ukupni rashodi (poslovanje i nefinancijska imovina) 2025. evidentirani na šifri 09 - obrazovanje. </w:t>
      </w:r>
    </w:p>
    <w:p w:rsidR="00EA09B1" w:rsidRDefault="00042801">
      <w:r>
        <w:t>Veći su u odnosu na 2024.g. zbog već objašnjenih razloga unutar izvješća:</w:t>
      </w:r>
    </w:p>
    <w:p w:rsidR="00EA09B1" w:rsidRDefault="00042801">
      <w:pPr>
        <w:pStyle w:val="Odlomakpopisa"/>
        <w:numPr>
          <w:ilvl w:val="0"/>
          <w:numId w:val="1"/>
        </w:numPr>
      </w:pPr>
      <w:r>
        <w:t>rast osnovice za obračun plaće zaposlenima</w:t>
      </w:r>
    </w:p>
    <w:p w:rsidR="00EA09B1" w:rsidRDefault="00042801">
      <w:pPr>
        <w:pStyle w:val="Odlomakpopisa"/>
        <w:numPr>
          <w:ilvl w:val="0"/>
          <w:numId w:val="1"/>
        </w:numPr>
      </w:pPr>
      <w:r>
        <w:t>knjiženje  13 plaće u godini (kao rashod)</w:t>
      </w:r>
    </w:p>
    <w:p w:rsidR="00EA09B1" w:rsidRDefault="00042801">
      <w:pPr>
        <w:pStyle w:val="Odlomakpopisa"/>
        <w:numPr>
          <w:ilvl w:val="0"/>
          <w:numId w:val="1"/>
        </w:numPr>
      </w:pPr>
      <w:r>
        <w:t>izmjenama i dopunama financijskog plana 2025 , povećani prihodi za troškove energenata, i ostalih</w:t>
      </w:r>
      <w:r>
        <w:t xml:space="preserve"> sredstava za osnovne namjene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Dodatne usluge u obrazovanju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53.515,92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56.715,80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106,0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Sredstva se odnose na realiziranu prehranu učenika u tijeku 2025.g., a veća su za 6%, što predstavlja djelomično povećanje cijena namirnica i usluga u prehrambenoj djelatnosti.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EA09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92.707,18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46.963,90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50,7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 xml:space="preserve">Proizvedena dugotrajna imovina odnosi se na prijenos vlasništva i knjigovodstvene vrijednosti energetske obnove  područne škole u </w:t>
      </w:r>
      <w:proofErr w:type="spellStart"/>
      <w:r>
        <w:t>Petlovcu</w:t>
      </w:r>
      <w:proofErr w:type="spellEnd"/>
      <w:r>
        <w:t>, koju je osnivač prenio na školu tijekom prosinca, 2025.g.</w:t>
      </w:r>
    </w:p>
    <w:p w:rsidR="00EA09B1" w:rsidRDefault="00042801">
      <w:r>
        <w:t>Smanjenje vrijednosti proizvedene dugotrajne imovine odnos</w:t>
      </w:r>
      <w:r>
        <w:t>i se na Ispravak vrijednosti knjiženih osnovnih sredstava za 2025.g., koji se od 01.01.2025. prema  novom Pravilniku o proračunskom računovodstvu i Računskom planu ( NN 158/23 i 154/24) knjiži i preko računa 915.</w:t>
      </w:r>
    </w:p>
    <w:p w:rsidR="00EA09B1" w:rsidRDefault="00EA09B1"/>
    <w:p w:rsidR="00EA09B1" w:rsidRDefault="00042801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EA09B1" w:rsidRDefault="00042801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EA09B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</w:t>
            </w:r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A09B1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EA09B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EA09B1" w:rsidRDefault="00042801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EA09B1" w:rsidRDefault="00EA09B1">
      <w:pPr>
        <w:spacing w:after="0"/>
      </w:pPr>
    </w:p>
    <w:p w:rsidR="00EA09B1" w:rsidRDefault="00042801">
      <w:r>
        <w:t>Na dan 31.12.2025.g. Škola nema dospjelih obveza.</w:t>
      </w:r>
    </w:p>
    <w:p w:rsidR="00EA09B1" w:rsidRDefault="00EA09B1"/>
    <w:sectPr w:rsidR="00EA0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E4E1A"/>
    <w:multiLevelType w:val="hybridMultilevel"/>
    <w:tmpl w:val="272E77A4"/>
    <w:name w:val="disc"/>
    <w:lvl w:ilvl="0" w:tplc="5ED47292">
      <w:start w:val="1"/>
      <w:numFmt w:val="bullet"/>
      <w:lvlText w:val="•"/>
      <w:lvlJc w:val="left"/>
      <w:pPr>
        <w:ind w:left="720" w:hanging="360"/>
      </w:pPr>
    </w:lvl>
    <w:lvl w:ilvl="1" w:tplc="A912A2FA">
      <w:start w:val="1"/>
      <w:numFmt w:val="bullet"/>
      <w:lvlText w:val="•"/>
      <w:lvlJc w:val="left"/>
      <w:pPr>
        <w:ind w:left="1440" w:hanging="360"/>
      </w:pPr>
    </w:lvl>
    <w:lvl w:ilvl="2" w:tplc="CA82804E">
      <w:start w:val="1"/>
      <w:numFmt w:val="bullet"/>
      <w:lvlText w:val="•"/>
      <w:lvlJc w:val="left"/>
      <w:pPr>
        <w:ind w:left="2160" w:hanging="360"/>
      </w:pPr>
    </w:lvl>
    <w:lvl w:ilvl="3" w:tplc="B8F882CE">
      <w:start w:val="1"/>
      <w:numFmt w:val="bullet"/>
      <w:lvlText w:val="•"/>
      <w:lvlJc w:val="left"/>
      <w:pPr>
        <w:ind w:left="2880" w:hanging="360"/>
      </w:pPr>
    </w:lvl>
    <w:lvl w:ilvl="4" w:tplc="8A009D70">
      <w:start w:val="1"/>
      <w:numFmt w:val="bullet"/>
      <w:lvlText w:val="•"/>
      <w:lvlJc w:val="left"/>
      <w:pPr>
        <w:ind w:left="3600" w:hanging="360"/>
      </w:pPr>
    </w:lvl>
    <w:lvl w:ilvl="5" w:tplc="7D0A8980">
      <w:start w:val="1"/>
      <w:numFmt w:val="bullet"/>
      <w:lvlText w:val="•"/>
      <w:lvlJc w:val="left"/>
      <w:pPr>
        <w:ind w:left="4320" w:hanging="360"/>
      </w:pPr>
    </w:lvl>
    <w:lvl w:ilvl="6" w:tplc="8772C3D0">
      <w:start w:val="1"/>
      <w:numFmt w:val="bullet"/>
      <w:lvlText w:val="•"/>
      <w:lvlJc w:val="left"/>
      <w:pPr>
        <w:ind w:left="5040" w:hanging="360"/>
      </w:pPr>
    </w:lvl>
    <w:lvl w:ilvl="7" w:tplc="85408530">
      <w:start w:val="1"/>
      <w:numFmt w:val="bullet"/>
      <w:lvlText w:val="•"/>
      <w:lvlJc w:val="left"/>
      <w:pPr>
        <w:ind w:left="5760" w:hanging="360"/>
      </w:pPr>
    </w:lvl>
    <w:lvl w:ilvl="8" w:tplc="E7E6F092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B1"/>
    <w:rsid w:val="00042801"/>
    <w:rsid w:val="00EA0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08795-A06D-493A-B0E4-41A57228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3454</Words>
  <Characters>19690</Characters>
  <Application>Microsoft Office Word</Application>
  <DocSecurity>0</DocSecurity>
  <Lines>164</Lines>
  <Paragraphs>46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dcterms:created xsi:type="dcterms:W3CDTF">2026-01-30T08:34:00Z</dcterms:created>
  <dcterms:modified xsi:type="dcterms:W3CDTF">2026-01-30T08:34:00Z</dcterms:modified>
</cp:coreProperties>
</file>